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黑体" w:hAnsi="黑体" w:eastAsia="黑体" w:cs="黑体"/>
          <w:color w:val="auto"/>
          <w:sz w:val="32"/>
          <w:szCs w:val="32"/>
        </w:rPr>
      </w:pPr>
      <w:r>
        <w:rPr>
          <w:rFonts w:hint="eastAsia" w:ascii="黑体" w:hAnsi="黑体" w:eastAsia="黑体" w:cs="黑体"/>
          <w:color w:val="auto"/>
          <w:sz w:val="32"/>
          <w:szCs w:val="32"/>
        </w:rPr>
        <w:t>附件1</w:t>
      </w:r>
    </w:p>
    <w:p>
      <w:pPr>
        <w:spacing w:line="300" w:lineRule="exact"/>
        <w:ind w:firstLine="320"/>
        <w:jc w:val="center"/>
        <w:rPr>
          <w:rStyle w:val="7"/>
          <w:rFonts w:ascii="方正小标宋简体" w:eastAsia="方正小标宋简体"/>
          <w:b w:val="0"/>
          <w:bCs w:val="0"/>
          <w:color w:val="auto"/>
          <w:sz w:val="16"/>
          <w:szCs w:val="16"/>
        </w:rPr>
      </w:pPr>
    </w:p>
    <w:p>
      <w:pPr>
        <w:ind w:firstLine="720"/>
        <w:jc w:val="center"/>
        <w:rPr>
          <w:rStyle w:val="7"/>
          <w:rFonts w:ascii="方正小标宋简体" w:eastAsia="方正小标宋简体"/>
          <w:b w:val="0"/>
          <w:bCs w:val="0"/>
          <w:color w:val="auto"/>
          <w:sz w:val="36"/>
          <w:szCs w:val="36"/>
        </w:rPr>
      </w:pPr>
      <w:r>
        <w:rPr>
          <w:rStyle w:val="7"/>
          <w:rFonts w:hint="eastAsia" w:ascii="方正小标宋简体" w:eastAsia="方正小标宋简体"/>
          <w:b w:val="0"/>
          <w:bCs w:val="0"/>
          <w:color w:val="auto"/>
          <w:sz w:val="36"/>
          <w:szCs w:val="36"/>
        </w:rPr>
        <w:t>2023年度浙江省中医药科学技术奖</w:t>
      </w:r>
      <w:r>
        <w:rPr>
          <w:rStyle w:val="7"/>
          <w:rFonts w:ascii="方正小标宋简体" w:eastAsia="方正小标宋简体"/>
          <w:b w:val="0"/>
          <w:bCs w:val="0"/>
          <w:color w:val="auto"/>
          <w:sz w:val="36"/>
          <w:szCs w:val="36"/>
        </w:rPr>
        <w:t>公示信息表</w:t>
      </w:r>
    </w:p>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推荐奖项：应用研究奖</w:t>
      </w:r>
    </w:p>
    <w:tbl>
      <w:tblPr>
        <w:tblStyle w:val="5"/>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702" w:type="dxa"/>
            <w:vAlign w:val="center"/>
          </w:tcPr>
          <w:p>
            <w:pPr>
              <w:rPr>
                <w:rFonts w:eastAsia="仿宋_GB2312"/>
                <w:color w:val="auto"/>
                <w:sz w:val="28"/>
                <w:szCs w:val="20"/>
              </w:rPr>
            </w:pPr>
            <w:r>
              <w:rPr>
                <w:rFonts w:eastAsia="仿宋_GB2312"/>
                <w:color w:val="auto"/>
                <w:sz w:val="28"/>
                <w:szCs w:val="24"/>
              </w:rPr>
              <w:t>成果名称</w:t>
            </w:r>
          </w:p>
        </w:tc>
        <w:tc>
          <w:tcPr>
            <w:tcW w:w="6804" w:type="dxa"/>
            <w:vAlign w:val="center"/>
          </w:tcPr>
          <w:p>
            <w:pPr>
              <w:jc w:val="center"/>
              <w:rPr>
                <w:rFonts w:eastAsia="仿宋_GB2312"/>
                <w:color w:val="auto"/>
                <w:sz w:val="28"/>
                <w:szCs w:val="20"/>
              </w:rPr>
            </w:pPr>
            <w:r>
              <w:rPr>
                <w:rFonts w:hint="eastAsia" w:eastAsia="仿宋_GB2312"/>
                <w:color w:val="auto"/>
                <w:sz w:val="28"/>
                <w:szCs w:val="24"/>
              </w:rPr>
              <w:t>道地药材浙贝母资源综合利用与开发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702" w:type="dxa"/>
            <w:vAlign w:val="center"/>
          </w:tcPr>
          <w:p>
            <w:pPr>
              <w:rPr>
                <w:rFonts w:eastAsia="仿宋_GB2312"/>
                <w:color w:val="auto"/>
                <w:sz w:val="28"/>
                <w:szCs w:val="20"/>
              </w:rPr>
            </w:pPr>
            <w:r>
              <w:rPr>
                <w:rFonts w:hint="eastAsia" w:eastAsia="仿宋_GB2312"/>
                <w:color w:val="auto"/>
                <w:sz w:val="28"/>
                <w:szCs w:val="24"/>
              </w:rPr>
              <w:t>推荐</w:t>
            </w:r>
            <w:r>
              <w:rPr>
                <w:rFonts w:eastAsia="仿宋_GB2312"/>
                <w:color w:val="auto"/>
                <w:sz w:val="28"/>
                <w:szCs w:val="24"/>
              </w:rPr>
              <w:t>等级</w:t>
            </w:r>
          </w:p>
        </w:tc>
        <w:tc>
          <w:tcPr>
            <w:tcW w:w="6804" w:type="dxa"/>
            <w:vAlign w:val="center"/>
          </w:tcPr>
          <w:p>
            <w:pPr>
              <w:jc w:val="center"/>
              <w:rPr>
                <w:rFonts w:eastAsia="仿宋_GB2312"/>
                <w:color w:val="auto"/>
                <w:sz w:val="28"/>
                <w:szCs w:val="20"/>
              </w:rPr>
            </w:pPr>
            <w:r>
              <w:rPr>
                <w:rFonts w:hint="eastAsia" w:eastAsia="仿宋_GB2312"/>
                <w:color w:val="auto"/>
                <w:sz w:val="28"/>
                <w:szCs w:val="24"/>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trPr>
        <w:tc>
          <w:tcPr>
            <w:tcW w:w="1702" w:type="dxa"/>
            <w:vAlign w:val="center"/>
          </w:tcPr>
          <w:p>
            <w:pPr>
              <w:spacing w:line="440" w:lineRule="exact"/>
              <w:rPr>
                <w:rFonts w:eastAsia="仿宋_GB2312"/>
                <w:bCs/>
                <w:color w:val="auto"/>
                <w:sz w:val="28"/>
                <w:szCs w:val="24"/>
              </w:rPr>
            </w:pPr>
            <w:r>
              <w:rPr>
                <w:rFonts w:hint="eastAsia" w:eastAsia="仿宋_GB2312"/>
                <w:bCs/>
                <w:color w:val="auto"/>
                <w:sz w:val="28"/>
                <w:szCs w:val="24"/>
              </w:rPr>
              <w:t>推荐</w:t>
            </w:r>
            <w:r>
              <w:rPr>
                <w:rFonts w:eastAsia="仿宋_GB2312"/>
                <w:bCs/>
                <w:color w:val="auto"/>
                <w:sz w:val="28"/>
                <w:szCs w:val="24"/>
              </w:rPr>
              <w:t>书相关内容</w:t>
            </w:r>
          </w:p>
        </w:tc>
        <w:tc>
          <w:tcPr>
            <w:tcW w:w="6804" w:type="dxa"/>
            <w:vAlign w:val="center"/>
          </w:tcPr>
          <w:p>
            <w:pPr>
              <w:spacing w:line="240" w:lineRule="auto"/>
              <w:jc w:val="left"/>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代表性论文：</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[1] </w:t>
            </w:r>
            <w:r>
              <w:rPr>
                <w:rFonts w:ascii="Times New Roman" w:hAnsi="宋体" w:eastAsia="宋体" w:cs="Times New Roman"/>
                <w:bCs/>
                <w:color w:val="auto"/>
                <w:sz w:val="24"/>
                <w:szCs w:val="24"/>
              </w:rPr>
              <w:t>程斌、董静玲、周爱珍、阮洪生、王昕蕾、彭昕</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基于</w:t>
            </w:r>
            <w:r>
              <w:rPr>
                <w:rFonts w:ascii="Times New Roman" w:hAnsi="Times New Roman" w:eastAsia="宋体" w:cs="Times New Roman"/>
                <w:bCs/>
                <w:color w:val="auto"/>
                <w:sz w:val="24"/>
                <w:szCs w:val="24"/>
              </w:rPr>
              <w:t xml:space="preserve">UPLC-Q-TOF-MS </w:t>
            </w:r>
            <w:r>
              <w:rPr>
                <w:rFonts w:ascii="Times New Roman" w:hAnsi="宋体" w:eastAsia="宋体" w:cs="Times New Roman"/>
                <w:bCs/>
                <w:color w:val="auto"/>
                <w:sz w:val="24"/>
                <w:szCs w:val="24"/>
              </w:rPr>
              <w:t>谱</w:t>
            </w:r>
            <w:r>
              <w:rPr>
                <w:rFonts w:ascii="Times New Roman" w:hAnsi="Times New Roman" w:eastAsia="宋体" w:cs="Times New Roman"/>
                <w:bCs/>
                <w:color w:val="auto"/>
                <w:sz w:val="24"/>
                <w:szCs w:val="24"/>
              </w:rPr>
              <w:t>-</w:t>
            </w:r>
            <w:r>
              <w:rPr>
                <w:rFonts w:ascii="Times New Roman" w:hAnsi="宋体" w:eastAsia="宋体" w:cs="Times New Roman"/>
                <w:bCs/>
                <w:color w:val="auto"/>
                <w:sz w:val="24"/>
                <w:szCs w:val="24"/>
              </w:rPr>
              <w:t>效分析的浙贝母化痰质量标志物的初步筛选及含量差异研究</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中国药学杂志，</w:t>
            </w:r>
            <w:r>
              <w:rPr>
                <w:rFonts w:ascii="Times New Roman" w:hAnsi="Times New Roman" w:eastAsia="宋体" w:cs="Times New Roman"/>
                <w:bCs/>
                <w:color w:val="auto"/>
                <w:sz w:val="24"/>
                <w:szCs w:val="24"/>
              </w:rPr>
              <w:t>2021</w:t>
            </w:r>
            <w:r>
              <w:rPr>
                <w:rFonts w:ascii="Times New Roman" w:hAnsi="宋体" w:eastAsia="宋体" w:cs="Times New Roman"/>
                <w:bCs/>
                <w:color w:val="auto"/>
                <w:sz w:val="24"/>
                <w:szCs w:val="24"/>
              </w:rPr>
              <w:t>，</w:t>
            </w:r>
            <w:r>
              <w:rPr>
                <w:rFonts w:ascii="Times New Roman" w:hAnsi="Times New Roman" w:eastAsia="宋体" w:cs="Times New Roman"/>
                <w:bCs/>
                <w:color w:val="auto"/>
                <w:sz w:val="24"/>
                <w:szCs w:val="24"/>
              </w:rPr>
              <w:t>56:462-471.</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[2] </w:t>
            </w:r>
            <w:r>
              <w:rPr>
                <w:rFonts w:ascii="Times New Roman" w:hAnsi="宋体" w:eastAsia="宋体" w:cs="Times New Roman"/>
                <w:bCs/>
                <w:color w:val="auto"/>
                <w:sz w:val="24"/>
                <w:szCs w:val="24"/>
              </w:rPr>
              <w:t>程斌、周爱珍、彭昕、王昕蕾、王娟</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浙贝母</w:t>
            </w:r>
            <w:r>
              <w:rPr>
                <w:rFonts w:ascii="Times New Roman" w:hAnsi="Times New Roman" w:eastAsia="宋体" w:cs="Times New Roman"/>
                <w:bCs/>
                <w:color w:val="auto"/>
                <w:sz w:val="24"/>
                <w:szCs w:val="24"/>
              </w:rPr>
              <w:t xml:space="preserve">UPLC-Q-TOF-MS/MS </w:t>
            </w:r>
            <w:r>
              <w:rPr>
                <w:rFonts w:ascii="Times New Roman" w:hAnsi="宋体" w:eastAsia="宋体" w:cs="Times New Roman"/>
                <w:bCs/>
                <w:color w:val="auto"/>
                <w:sz w:val="24"/>
                <w:szCs w:val="24"/>
              </w:rPr>
              <w:t>指纹图谱的建立及其抗炎质量标志物的分析</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中国药房</w:t>
            </w:r>
            <w:r>
              <w:rPr>
                <w:rFonts w:ascii="Times New Roman" w:hAnsi="Times New Roman" w:eastAsia="宋体" w:cs="Times New Roman"/>
                <w:bCs/>
                <w:color w:val="auto"/>
                <w:sz w:val="24"/>
                <w:szCs w:val="24"/>
              </w:rPr>
              <w:t>, 2020, 31:2129-2135</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Mingchao Cui, Shaojun Chen, Hanhua Wang, Zhaohui Li, Hongjiang Chen,Yong Chen, Haibin Zhou, Xiang Li, JianWei Chen.Metabolic profiling investigation of Fritillaria thunbergii Miq. by gas chromatography–mass spectrometry. Journal of food and drug analysis, 2018, 26:337-347</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[4] </w:t>
            </w:r>
            <w:r>
              <w:rPr>
                <w:rFonts w:ascii="Times New Roman" w:hAnsi="宋体" w:eastAsia="宋体" w:cs="Times New Roman"/>
                <w:bCs/>
                <w:color w:val="auto"/>
                <w:sz w:val="24"/>
                <w:szCs w:val="24"/>
              </w:rPr>
              <w:t>崔明超、张加余、陈少军、江海龙、周海滨、凌庆枝</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浙贝母植株各部位中生物碱和黄酮的</w:t>
            </w:r>
            <w:r>
              <w:rPr>
                <w:rFonts w:ascii="Times New Roman" w:hAnsi="Times New Roman" w:eastAsia="宋体" w:cs="Times New Roman"/>
                <w:bCs/>
                <w:color w:val="auto"/>
                <w:sz w:val="24"/>
                <w:szCs w:val="24"/>
              </w:rPr>
              <w:t xml:space="preserve">LC-LTQ-Orbitrap MSn </w:t>
            </w:r>
            <w:r>
              <w:rPr>
                <w:rFonts w:ascii="Times New Roman" w:hAnsi="宋体" w:eastAsia="宋体" w:cs="Times New Roman"/>
                <w:bCs/>
                <w:color w:val="auto"/>
                <w:sz w:val="24"/>
                <w:szCs w:val="24"/>
              </w:rPr>
              <w:t>分析</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中国中药杂志，</w:t>
            </w:r>
            <w:r>
              <w:rPr>
                <w:rFonts w:ascii="Times New Roman" w:hAnsi="Times New Roman" w:eastAsia="宋体" w:cs="Times New Roman"/>
                <w:bCs/>
                <w:color w:val="auto"/>
                <w:sz w:val="24"/>
                <w:szCs w:val="24"/>
              </w:rPr>
              <w:t>2016</w:t>
            </w:r>
            <w:r>
              <w:rPr>
                <w:rFonts w:ascii="Times New Roman" w:hAnsi="宋体" w:eastAsia="宋体" w:cs="Times New Roman"/>
                <w:bCs/>
                <w:color w:val="auto"/>
                <w:sz w:val="24"/>
                <w:szCs w:val="24"/>
              </w:rPr>
              <w:t>，</w:t>
            </w:r>
            <w:r>
              <w:rPr>
                <w:rFonts w:ascii="Times New Roman" w:hAnsi="Times New Roman" w:eastAsia="宋体" w:cs="Times New Roman"/>
                <w:bCs/>
                <w:color w:val="auto"/>
                <w:sz w:val="24"/>
                <w:szCs w:val="24"/>
              </w:rPr>
              <w:t>41:2124-2130</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[5] </w:t>
            </w:r>
            <w:r>
              <w:rPr>
                <w:rFonts w:ascii="Times New Roman" w:hAnsi="宋体" w:eastAsia="宋体" w:cs="Times New Roman"/>
                <w:bCs/>
                <w:color w:val="auto"/>
                <w:sz w:val="24"/>
                <w:szCs w:val="24"/>
              </w:rPr>
              <w:t>王翰华、陈宏降、王强、倪梦茜、阮洪生</w:t>
            </w:r>
            <w:r>
              <w:rPr>
                <w:rFonts w:ascii="Times New Roman" w:hAnsi="Times New Roman" w:eastAsia="宋体" w:cs="Times New Roman"/>
                <w:bCs/>
                <w:color w:val="auto"/>
                <w:sz w:val="24"/>
                <w:szCs w:val="24"/>
              </w:rPr>
              <w:t>.</w:t>
            </w:r>
            <w:r>
              <w:rPr>
                <w:rFonts w:ascii="Times New Roman" w:hAnsi="Times New Roman" w:eastAsia="宋体" w:cs="Times New Roman"/>
                <w:bCs/>
                <w:color w:val="auto"/>
                <w:sz w:val="24"/>
                <w:szCs w:val="24"/>
              </w:rPr>
              <w:tab/>
            </w:r>
            <w:r>
              <w:rPr>
                <w:rFonts w:ascii="Times New Roman" w:hAnsi="宋体" w:eastAsia="宋体" w:cs="Times New Roman"/>
                <w:bCs/>
                <w:color w:val="auto"/>
                <w:sz w:val="24"/>
                <w:szCs w:val="24"/>
              </w:rPr>
              <w:t>浙贝母花</w:t>
            </w:r>
            <w:r>
              <w:rPr>
                <w:rFonts w:ascii="Times New Roman" w:hAnsi="Times New Roman" w:eastAsia="宋体" w:cs="Times New Roman"/>
                <w:bCs/>
                <w:color w:val="auto"/>
                <w:sz w:val="24"/>
                <w:szCs w:val="24"/>
              </w:rPr>
              <w:t>-</w:t>
            </w:r>
            <w:r>
              <w:rPr>
                <w:rFonts w:ascii="Times New Roman" w:hAnsi="宋体" w:eastAsia="宋体" w:cs="Times New Roman"/>
                <w:bCs/>
                <w:color w:val="auto"/>
                <w:sz w:val="24"/>
                <w:szCs w:val="24"/>
              </w:rPr>
              <w:t>宁海白枇杷花保健饮料的研制及其止咳作用</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食品工业科技，</w:t>
            </w:r>
            <w:r>
              <w:rPr>
                <w:rFonts w:ascii="Times New Roman" w:hAnsi="Times New Roman" w:eastAsia="宋体" w:cs="Times New Roman"/>
                <w:bCs/>
                <w:color w:val="auto"/>
                <w:sz w:val="24"/>
                <w:szCs w:val="24"/>
              </w:rPr>
              <w:t>2018</w:t>
            </w:r>
            <w:r>
              <w:rPr>
                <w:rFonts w:ascii="Times New Roman" w:hAnsi="宋体" w:eastAsia="宋体" w:cs="Times New Roman"/>
                <w:bCs/>
                <w:color w:val="auto"/>
                <w:sz w:val="24"/>
                <w:szCs w:val="24"/>
              </w:rPr>
              <w:t>，</w:t>
            </w:r>
            <w:r>
              <w:rPr>
                <w:rFonts w:ascii="Times New Roman" w:hAnsi="Times New Roman" w:eastAsia="宋体" w:cs="Times New Roman"/>
                <w:bCs/>
                <w:color w:val="auto"/>
                <w:sz w:val="24"/>
                <w:szCs w:val="24"/>
              </w:rPr>
              <w:t>39:173-177</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[6] </w:t>
            </w:r>
            <w:r>
              <w:rPr>
                <w:rFonts w:ascii="Times New Roman" w:hAnsi="宋体" w:eastAsia="宋体" w:cs="Times New Roman"/>
                <w:bCs/>
                <w:color w:val="auto"/>
                <w:sz w:val="24"/>
                <w:szCs w:val="24"/>
              </w:rPr>
              <w:t>王翰华、杨晓春、崔明超、陈少军</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浙贝母花配伍宁海白枇杷花的止咳化痰作用</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中成药，</w:t>
            </w:r>
            <w:r>
              <w:rPr>
                <w:rFonts w:ascii="Times New Roman" w:hAnsi="Times New Roman" w:eastAsia="宋体" w:cs="Times New Roman"/>
                <w:bCs/>
                <w:color w:val="auto"/>
                <w:sz w:val="24"/>
                <w:szCs w:val="24"/>
              </w:rPr>
              <w:t>2017, 39:1921-23</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[7] </w:t>
            </w:r>
            <w:r>
              <w:rPr>
                <w:rFonts w:ascii="Times New Roman" w:hAnsi="宋体" w:eastAsia="宋体" w:cs="Times New Roman"/>
                <w:bCs/>
                <w:color w:val="auto"/>
                <w:sz w:val="24"/>
                <w:szCs w:val="24"/>
              </w:rPr>
              <w:t>王翰华、杨晓春、崔明超、李开心、陈宏降</w:t>
            </w:r>
            <w:r>
              <w:rPr>
                <w:rFonts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ab/>
            </w:r>
            <w:r>
              <w:rPr>
                <w:rFonts w:ascii="Times New Roman" w:hAnsi="宋体" w:eastAsia="宋体" w:cs="Times New Roman"/>
                <w:bCs/>
                <w:color w:val="auto"/>
                <w:sz w:val="24"/>
                <w:szCs w:val="24"/>
              </w:rPr>
              <w:t>浙贝母花与宁海白枇杷花配伍的抗炎及抗菌作用</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中成药</w:t>
            </w:r>
            <w:r>
              <w:rPr>
                <w:rFonts w:ascii="Times New Roman" w:hAnsi="Times New Roman" w:eastAsia="宋体" w:cs="Times New Roman"/>
                <w:bCs/>
                <w:color w:val="auto"/>
                <w:sz w:val="24"/>
                <w:szCs w:val="24"/>
              </w:rPr>
              <w:t>, 2018, 40:46-50</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[8] </w:t>
            </w:r>
            <w:r>
              <w:rPr>
                <w:rFonts w:ascii="Times New Roman" w:hAnsi="宋体" w:eastAsia="宋体" w:cs="Times New Roman"/>
                <w:bCs/>
                <w:color w:val="auto"/>
                <w:sz w:val="24"/>
                <w:szCs w:val="24"/>
              </w:rPr>
              <w:t>程斌、杨雄志</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浙贝母无硫化产地加工工艺的比较</w:t>
            </w:r>
            <w:r>
              <w:rPr>
                <w:rFonts w:ascii="Times New Roman" w:hAnsi="Times New Roman" w:eastAsia="宋体" w:cs="Times New Roman"/>
                <w:bCs/>
                <w:color w:val="auto"/>
                <w:sz w:val="24"/>
                <w:szCs w:val="24"/>
              </w:rPr>
              <w:t xml:space="preserve">. </w:t>
            </w:r>
            <w:r>
              <w:rPr>
                <w:rFonts w:ascii="Times New Roman" w:hAnsi="宋体" w:eastAsia="宋体" w:cs="Times New Roman"/>
                <w:bCs/>
                <w:color w:val="auto"/>
                <w:sz w:val="24"/>
                <w:szCs w:val="24"/>
              </w:rPr>
              <w:t>中国实验方剂学杂志</w:t>
            </w:r>
            <w:r>
              <w:rPr>
                <w:rFonts w:ascii="Times New Roman" w:hAnsi="Times New Roman" w:eastAsia="宋体" w:cs="Times New Roman"/>
                <w:bCs/>
                <w:color w:val="auto"/>
                <w:sz w:val="24"/>
                <w:szCs w:val="24"/>
              </w:rPr>
              <w:t>, 2014, 20:12-15</w:t>
            </w:r>
          </w:p>
          <w:p>
            <w:pPr>
              <w:spacing w:line="400" w:lineRule="exact"/>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[9] Lihua Zhang, Mingchao Cui, Shaojun Chen*. Identification of the Molecular Mechanisms of Peimine in the Treatment of Cough Using Computational Target Fishing. Molecules, 2020, 25:1105</w:t>
            </w:r>
          </w:p>
          <w:p>
            <w:pPr>
              <w:spacing w:line="400" w:lineRule="exact"/>
              <w:jc w:val="left"/>
              <w:rPr>
                <w:rFonts w:ascii="Times New Roman" w:hAnsi="Times New Roman" w:eastAsia="仿宋_GB2312" w:cs="Times New Roman"/>
                <w:bCs/>
                <w:color w:val="auto"/>
                <w:sz w:val="24"/>
                <w:szCs w:val="24"/>
              </w:rPr>
            </w:pPr>
            <w:r>
              <w:rPr>
                <w:rFonts w:ascii="Times New Roman" w:hAnsi="Times New Roman" w:eastAsia="宋体" w:cs="Times New Roman"/>
                <w:bCs/>
                <w:color w:val="auto"/>
                <w:sz w:val="24"/>
                <w:szCs w:val="24"/>
              </w:rPr>
              <w:t>[10] Mingchao Cui, Shaojun Chen, Hanhua Wang, Ping Pan, Yiyuan Luo, Xiuxiu Sha. Mechanisms of Fritillariae Thunbergii Flos in lung cancer treatment from a systems pharmacology perspective Systems pharmacology perspective. Journal of Ethnopharmacology, 2021, 264:113245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6" w:hRule="atLeast"/>
        </w:trPr>
        <w:tc>
          <w:tcPr>
            <w:tcW w:w="1702" w:type="dxa"/>
            <w:tcBorders>
              <w:right w:val="single" w:color="auto" w:sz="4" w:space="0"/>
            </w:tcBorders>
            <w:vAlign w:val="center"/>
          </w:tcPr>
          <w:p>
            <w:pPr>
              <w:spacing w:line="440" w:lineRule="exact"/>
              <w:rPr>
                <w:rFonts w:eastAsia="仿宋_GB2312"/>
                <w:bCs/>
                <w:color w:val="auto"/>
                <w:sz w:val="28"/>
                <w:szCs w:val="24"/>
              </w:rPr>
            </w:pPr>
            <w:r>
              <w:rPr>
                <w:rFonts w:eastAsia="仿宋_GB2312"/>
                <w:bCs/>
                <w:color w:val="auto"/>
                <w:sz w:val="28"/>
                <w:szCs w:val="24"/>
              </w:rPr>
              <w:t>主要完成人</w:t>
            </w:r>
          </w:p>
        </w:tc>
        <w:tc>
          <w:tcPr>
            <w:tcW w:w="6804" w:type="dxa"/>
            <w:tcBorders>
              <w:left w:val="single" w:color="auto" w:sz="4" w:space="0"/>
            </w:tcBorders>
            <w:vAlign w:val="center"/>
          </w:tcPr>
          <w:p>
            <w:pPr>
              <w:spacing w:line="300" w:lineRule="auto"/>
              <w:rPr>
                <w:rFonts w:ascii="Times New Roman" w:hAnsi="Times New Roman" w:eastAsia="宋体" w:cs="Times New Roman"/>
                <w:bCs/>
                <w:color w:val="auto"/>
                <w:sz w:val="24"/>
                <w:szCs w:val="24"/>
              </w:rPr>
            </w:pPr>
            <w:r>
              <w:rPr>
                <w:rFonts w:ascii="Times New Roman" w:hAnsi="宋体" w:eastAsia="宋体" w:cs="Times New Roman"/>
                <w:bCs/>
                <w:color w:val="auto"/>
                <w:sz w:val="24"/>
                <w:szCs w:val="24"/>
              </w:rPr>
              <w:t>陈少军，排名</w:t>
            </w:r>
            <w:r>
              <w:rPr>
                <w:rFonts w:ascii="Times New Roman" w:hAnsi="Times New Roman" w:eastAsia="宋体" w:cs="Times New Roman"/>
                <w:bCs/>
                <w:color w:val="auto"/>
                <w:sz w:val="24"/>
                <w:szCs w:val="24"/>
              </w:rPr>
              <w:t>1</w:t>
            </w:r>
            <w:r>
              <w:rPr>
                <w:rFonts w:ascii="Times New Roman" w:hAnsi="宋体" w:eastAsia="宋体" w:cs="Times New Roman"/>
                <w:bCs/>
                <w:color w:val="auto"/>
                <w:sz w:val="24"/>
                <w:szCs w:val="24"/>
              </w:rPr>
              <w:t>，副教授，浙江药科职业大学；</w:t>
            </w:r>
          </w:p>
          <w:p>
            <w:pPr>
              <w:spacing w:line="300" w:lineRule="auto"/>
              <w:rPr>
                <w:rFonts w:ascii="Times New Roman" w:hAnsi="Times New Roman" w:eastAsia="宋体" w:cs="Times New Roman"/>
                <w:bCs/>
                <w:color w:val="auto"/>
                <w:sz w:val="24"/>
                <w:szCs w:val="24"/>
              </w:rPr>
            </w:pPr>
            <w:r>
              <w:rPr>
                <w:rFonts w:ascii="Times New Roman" w:hAnsi="宋体" w:eastAsia="宋体" w:cs="Times New Roman"/>
                <w:bCs/>
                <w:color w:val="auto"/>
                <w:sz w:val="24"/>
                <w:szCs w:val="24"/>
              </w:rPr>
              <w:t>崔明超，排名</w:t>
            </w:r>
            <w:r>
              <w:rPr>
                <w:rFonts w:ascii="Times New Roman" w:hAnsi="Times New Roman" w:eastAsia="宋体" w:cs="Times New Roman"/>
                <w:bCs/>
                <w:color w:val="auto"/>
                <w:sz w:val="24"/>
                <w:szCs w:val="24"/>
              </w:rPr>
              <w:t>2</w:t>
            </w:r>
            <w:r>
              <w:rPr>
                <w:rFonts w:ascii="Times New Roman" w:hAnsi="宋体" w:eastAsia="宋体" w:cs="Times New Roman"/>
                <w:bCs/>
                <w:color w:val="auto"/>
                <w:sz w:val="24"/>
                <w:szCs w:val="24"/>
              </w:rPr>
              <w:t>，教授，浙江药科职业大学；</w:t>
            </w:r>
          </w:p>
          <w:p>
            <w:pPr>
              <w:spacing w:line="300" w:lineRule="auto"/>
              <w:rPr>
                <w:rFonts w:ascii="Times New Roman" w:hAnsi="Times New Roman" w:eastAsia="宋体" w:cs="Times New Roman"/>
                <w:bCs/>
                <w:color w:val="auto"/>
                <w:sz w:val="24"/>
                <w:szCs w:val="24"/>
              </w:rPr>
            </w:pPr>
            <w:r>
              <w:rPr>
                <w:rFonts w:ascii="Times New Roman" w:hAnsi="宋体" w:eastAsia="宋体" w:cs="Times New Roman"/>
                <w:bCs/>
                <w:color w:val="auto"/>
                <w:sz w:val="24"/>
                <w:szCs w:val="24"/>
              </w:rPr>
              <w:t>程斌，排名</w:t>
            </w:r>
            <w:r>
              <w:rPr>
                <w:rFonts w:ascii="Times New Roman" w:hAnsi="Times New Roman" w:eastAsia="宋体" w:cs="Times New Roman"/>
                <w:bCs/>
                <w:color w:val="auto"/>
                <w:sz w:val="24"/>
                <w:szCs w:val="24"/>
              </w:rPr>
              <w:t>3</w:t>
            </w:r>
            <w:r>
              <w:rPr>
                <w:rFonts w:ascii="Times New Roman" w:hAnsi="宋体" w:eastAsia="宋体" w:cs="Times New Roman"/>
                <w:bCs/>
                <w:color w:val="auto"/>
                <w:sz w:val="24"/>
                <w:szCs w:val="24"/>
              </w:rPr>
              <w:t>，教授，浙江药科职业大学；</w:t>
            </w:r>
          </w:p>
          <w:p>
            <w:pPr>
              <w:spacing w:line="300" w:lineRule="auto"/>
              <w:rPr>
                <w:rFonts w:hint="eastAsia" w:ascii="Times New Roman" w:hAnsi="宋体" w:eastAsia="宋体" w:cs="Times New Roman"/>
                <w:bCs/>
                <w:color w:val="auto"/>
                <w:sz w:val="24"/>
                <w:szCs w:val="24"/>
              </w:rPr>
            </w:pPr>
            <w:r>
              <w:rPr>
                <w:rFonts w:ascii="Times New Roman" w:hAnsi="宋体" w:eastAsia="宋体" w:cs="Times New Roman"/>
                <w:bCs/>
                <w:color w:val="auto"/>
                <w:sz w:val="24"/>
                <w:szCs w:val="24"/>
              </w:rPr>
              <w:t>周爱珍，排名</w:t>
            </w:r>
            <w:r>
              <w:rPr>
                <w:rFonts w:ascii="Times New Roman" w:hAnsi="Times New Roman" w:eastAsia="宋体" w:cs="Times New Roman"/>
                <w:bCs/>
                <w:color w:val="auto"/>
                <w:sz w:val="24"/>
                <w:szCs w:val="24"/>
              </w:rPr>
              <w:t>4</w:t>
            </w:r>
            <w:r>
              <w:rPr>
                <w:rFonts w:ascii="Times New Roman" w:hAnsi="宋体" w:eastAsia="宋体" w:cs="Times New Roman"/>
                <w:bCs/>
                <w:color w:val="auto"/>
                <w:sz w:val="24"/>
                <w:szCs w:val="24"/>
              </w:rPr>
              <w:t>，教授，浙江药科职业大学；</w:t>
            </w:r>
          </w:p>
          <w:p>
            <w:pPr>
              <w:spacing w:line="300" w:lineRule="auto"/>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崔骏达，排名5，省级</w:t>
            </w:r>
            <w:bookmarkStart w:id="0" w:name="_GoBack"/>
            <w:bookmarkEnd w:id="0"/>
            <w:r>
              <w:rPr>
                <w:rFonts w:hint="eastAsia" w:ascii="Times New Roman" w:hAnsi="Times New Roman" w:eastAsia="宋体" w:cs="Times New Roman"/>
                <w:bCs/>
                <w:color w:val="auto"/>
                <w:sz w:val="24"/>
                <w:szCs w:val="24"/>
              </w:rPr>
              <w:t>中药材乡土专家，宁波迦叶堂农业有限公司</w:t>
            </w:r>
          </w:p>
          <w:p>
            <w:pPr>
              <w:spacing w:line="300" w:lineRule="auto"/>
              <w:rPr>
                <w:rFonts w:hint="eastAsia" w:ascii="Times New Roman" w:hAnsi="宋体" w:eastAsia="宋体" w:cs="Times New Roman"/>
                <w:bCs/>
                <w:color w:val="auto"/>
                <w:sz w:val="24"/>
                <w:szCs w:val="24"/>
              </w:rPr>
            </w:pPr>
            <w:r>
              <w:rPr>
                <w:rFonts w:ascii="Times New Roman" w:hAnsi="宋体" w:eastAsia="宋体" w:cs="Times New Roman"/>
                <w:bCs/>
                <w:color w:val="auto"/>
                <w:sz w:val="24"/>
                <w:szCs w:val="24"/>
              </w:rPr>
              <w:t>阮洪生，排名</w:t>
            </w:r>
            <w:r>
              <w:rPr>
                <w:rFonts w:ascii="Times New Roman" w:hAnsi="Times New Roman" w:eastAsia="宋体" w:cs="Times New Roman"/>
                <w:bCs/>
                <w:color w:val="auto"/>
                <w:sz w:val="24"/>
                <w:szCs w:val="24"/>
              </w:rPr>
              <w:t>6</w:t>
            </w:r>
            <w:r>
              <w:rPr>
                <w:rFonts w:ascii="Times New Roman" w:hAnsi="宋体" w:eastAsia="宋体" w:cs="Times New Roman"/>
                <w:bCs/>
                <w:color w:val="auto"/>
                <w:sz w:val="24"/>
                <w:szCs w:val="24"/>
              </w:rPr>
              <w:t>，教授，浙江药科职业大学；</w:t>
            </w:r>
          </w:p>
          <w:p>
            <w:pPr>
              <w:spacing w:line="300" w:lineRule="auto"/>
              <w:rPr>
                <w:rFonts w:ascii="Times New Roman" w:hAnsi="宋体" w:eastAsia="宋体" w:cs="Times New Roman"/>
                <w:bCs/>
                <w:color w:val="auto"/>
                <w:sz w:val="24"/>
                <w:szCs w:val="24"/>
              </w:rPr>
            </w:pPr>
            <w:r>
              <w:rPr>
                <w:rFonts w:ascii="Times New Roman" w:hAnsi="宋体" w:eastAsia="宋体" w:cs="Times New Roman"/>
                <w:bCs/>
                <w:color w:val="auto"/>
                <w:sz w:val="24"/>
                <w:szCs w:val="24"/>
              </w:rPr>
              <w:t>王翰华，排名</w:t>
            </w:r>
            <w:r>
              <w:rPr>
                <w:rFonts w:hint="eastAsia" w:ascii="Times New Roman" w:hAnsi="宋体" w:eastAsia="宋体" w:cs="Times New Roman"/>
                <w:bCs/>
                <w:color w:val="auto"/>
                <w:sz w:val="24"/>
                <w:szCs w:val="24"/>
                <w:lang w:val="en-US" w:eastAsia="zh-CN"/>
              </w:rPr>
              <w:t>7</w:t>
            </w:r>
            <w:r>
              <w:rPr>
                <w:rFonts w:ascii="Times New Roman" w:hAnsi="宋体" w:eastAsia="宋体" w:cs="Times New Roman"/>
                <w:bCs/>
                <w:color w:val="auto"/>
                <w:sz w:val="24"/>
                <w:szCs w:val="24"/>
              </w:rPr>
              <w:t>，讲师，浙江药科职业大学；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trPr>
        <w:tc>
          <w:tcPr>
            <w:tcW w:w="1702" w:type="dxa"/>
            <w:tcBorders>
              <w:right w:val="single" w:color="auto" w:sz="4" w:space="0"/>
            </w:tcBorders>
            <w:vAlign w:val="center"/>
          </w:tcPr>
          <w:p>
            <w:pPr>
              <w:spacing w:line="440" w:lineRule="exact"/>
              <w:rPr>
                <w:rFonts w:eastAsia="仿宋"/>
                <w:bCs/>
                <w:color w:val="auto"/>
                <w:sz w:val="24"/>
                <w:szCs w:val="24"/>
              </w:rPr>
            </w:pPr>
            <w:r>
              <w:rPr>
                <w:rFonts w:eastAsia="仿宋_GB2312"/>
                <w:bCs/>
                <w:color w:val="auto"/>
                <w:sz w:val="28"/>
                <w:szCs w:val="24"/>
              </w:rPr>
              <w:t>主要完成单位</w:t>
            </w:r>
          </w:p>
        </w:tc>
        <w:tc>
          <w:tcPr>
            <w:tcW w:w="6804" w:type="dxa"/>
            <w:tcBorders>
              <w:left w:val="single" w:color="auto" w:sz="4" w:space="0"/>
            </w:tcBorders>
            <w:vAlign w:val="center"/>
          </w:tcPr>
          <w:p>
            <w:pPr>
              <w:spacing w:line="440" w:lineRule="exact"/>
              <w:jc w:val="left"/>
              <w:rPr>
                <w:rStyle w:val="7"/>
                <w:rFonts w:ascii="Times New Roman" w:hAnsi="Times New Roman" w:eastAsia="宋体" w:cs="Times New Roman"/>
                <w:b w:val="0"/>
                <w:color w:val="auto"/>
              </w:rPr>
            </w:pPr>
            <w:r>
              <w:rPr>
                <w:rStyle w:val="7"/>
                <w:rFonts w:hint="eastAsia" w:ascii="宋体" w:hAnsi="宋体" w:eastAsia="宋体"/>
                <w:b w:val="0"/>
                <w:color w:val="auto"/>
              </w:rPr>
              <w:t>浙江药科</w:t>
            </w:r>
            <w:r>
              <w:rPr>
                <w:rStyle w:val="7"/>
                <w:rFonts w:ascii="Times New Roman" w:hAnsi="宋体" w:eastAsia="宋体" w:cs="Times New Roman"/>
                <w:b w:val="0"/>
                <w:color w:val="auto"/>
              </w:rPr>
              <w:t>职业大学，排名</w:t>
            </w:r>
            <w:r>
              <w:rPr>
                <w:rStyle w:val="7"/>
                <w:rFonts w:ascii="Times New Roman" w:hAnsi="Times New Roman" w:eastAsia="宋体" w:cs="Times New Roman"/>
                <w:b w:val="0"/>
                <w:color w:val="auto"/>
              </w:rPr>
              <w:t>1</w:t>
            </w:r>
          </w:p>
          <w:p>
            <w:pPr>
              <w:spacing w:line="440" w:lineRule="exact"/>
              <w:jc w:val="left"/>
              <w:rPr>
                <w:rFonts w:ascii="宋体" w:hAnsi="宋体" w:eastAsia="宋体"/>
                <w:bCs/>
                <w:color w:val="auto"/>
                <w:sz w:val="24"/>
                <w:szCs w:val="24"/>
              </w:rPr>
            </w:pPr>
            <w:r>
              <w:rPr>
                <w:rFonts w:ascii="Times New Roman" w:hAnsi="宋体" w:eastAsia="宋体" w:cs="Times New Roman"/>
                <w:bCs/>
                <w:color w:val="auto"/>
                <w:sz w:val="24"/>
                <w:szCs w:val="24"/>
              </w:rPr>
              <w:t>宁波迦叶堂农业科技有限公司，排名</w:t>
            </w:r>
            <w:r>
              <w:rPr>
                <w:rFonts w:ascii="Times New Roman" w:hAnsi="Times New Roman" w:eastAsia="宋体" w:cs="Times New Roman"/>
                <w:bCs/>
                <w:color w:val="auto"/>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1702" w:type="dxa"/>
            <w:vAlign w:val="center"/>
          </w:tcPr>
          <w:p>
            <w:pPr>
              <w:rPr>
                <w:rFonts w:eastAsia="仿宋_GB2312"/>
                <w:color w:val="auto"/>
                <w:sz w:val="28"/>
                <w:szCs w:val="28"/>
              </w:rPr>
            </w:pPr>
            <w:r>
              <w:rPr>
                <w:rFonts w:hint="eastAsia" w:eastAsia="仿宋_GB2312"/>
                <w:bCs/>
                <w:color w:val="auto"/>
                <w:sz w:val="28"/>
                <w:szCs w:val="28"/>
              </w:rPr>
              <w:t>推荐</w:t>
            </w:r>
            <w:r>
              <w:rPr>
                <w:rFonts w:eastAsia="仿宋_GB2312"/>
                <w:bCs/>
                <w:color w:val="auto"/>
                <w:sz w:val="28"/>
                <w:szCs w:val="28"/>
              </w:rPr>
              <w:t>单位</w:t>
            </w:r>
          </w:p>
        </w:tc>
        <w:tc>
          <w:tcPr>
            <w:tcW w:w="6804" w:type="dxa"/>
            <w:vAlign w:val="center"/>
          </w:tcPr>
          <w:p>
            <w:pPr>
              <w:contextualSpacing/>
              <w:rPr>
                <w:rFonts w:ascii="宋体" w:hAnsi="宋体" w:eastAsia="宋体"/>
                <w:color w:val="auto"/>
                <w:szCs w:val="20"/>
              </w:rPr>
            </w:pPr>
            <w:r>
              <w:rPr>
                <w:rStyle w:val="7"/>
                <w:rFonts w:hint="eastAsia" w:ascii="宋体" w:hAnsi="宋体" w:eastAsia="宋体"/>
                <w:b w:val="0"/>
                <w:color w:val="auto"/>
              </w:rPr>
              <w:t>浙江药科职业大学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8" w:hRule="atLeast"/>
        </w:trPr>
        <w:tc>
          <w:tcPr>
            <w:tcW w:w="1702" w:type="dxa"/>
            <w:vAlign w:val="center"/>
          </w:tcPr>
          <w:p>
            <w:pPr>
              <w:rPr>
                <w:rFonts w:eastAsia="仿宋_GB2312"/>
                <w:color w:val="auto"/>
                <w:sz w:val="28"/>
                <w:szCs w:val="28"/>
              </w:rPr>
            </w:pPr>
            <w:r>
              <w:rPr>
                <w:rFonts w:hint="eastAsia" w:eastAsia="仿宋_GB2312"/>
                <w:bCs/>
                <w:color w:val="auto"/>
                <w:sz w:val="28"/>
                <w:szCs w:val="28"/>
              </w:rPr>
              <w:t>推荐</w:t>
            </w:r>
            <w:r>
              <w:rPr>
                <w:rFonts w:eastAsia="仿宋_GB2312"/>
                <w:bCs/>
                <w:color w:val="auto"/>
                <w:sz w:val="28"/>
                <w:szCs w:val="28"/>
              </w:rPr>
              <w:t>意见</w:t>
            </w:r>
          </w:p>
        </w:tc>
        <w:tc>
          <w:tcPr>
            <w:tcW w:w="6804" w:type="dxa"/>
            <w:vAlign w:val="center"/>
          </w:tcPr>
          <w:p>
            <w:pPr>
              <w:pStyle w:val="2"/>
              <w:spacing w:line="300" w:lineRule="auto"/>
              <w:ind w:firstLine="480" w:firstLineChars="200"/>
              <w:rPr>
                <w:color w:val="auto"/>
                <w:sz w:val="24"/>
                <w:szCs w:val="21"/>
              </w:rPr>
            </w:pPr>
            <w:r>
              <w:rPr>
                <w:color w:val="auto"/>
                <w:sz w:val="24"/>
                <w:szCs w:val="21"/>
              </w:rPr>
              <w:t>项目组系统性鉴定分析了浙贝母植株各部位的活性成分和代谢调控网络，提出浙贝母花具有良好的药用开发价值；首次鉴定了浙贝母的中药质量标志物，为完善品质标准提供依据；系统阐述了浙贝母止咳化痰和肺癌防治作用，是阐明传统“化痰散结”功效现代药理机制；首创浙贝母花和枇杷花为原料的“贝枇双花饮” 功能饮料的研制。</w:t>
            </w:r>
          </w:p>
          <w:p>
            <w:pPr>
              <w:pStyle w:val="2"/>
              <w:spacing w:line="300" w:lineRule="auto"/>
              <w:ind w:firstLine="480" w:firstLineChars="200"/>
              <w:rPr>
                <w:color w:val="auto"/>
                <w:sz w:val="24"/>
                <w:szCs w:val="21"/>
              </w:rPr>
            </w:pPr>
            <w:r>
              <w:rPr>
                <w:color w:val="auto"/>
                <w:sz w:val="24"/>
                <w:szCs w:val="21"/>
              </w:rPr>
              <w:t>制订了基于现代科学基础的无硫浙贝母商品规格等级标准，为实现无硫浙贝母市场的规范化管理，提升我省道地药材的市场竞争力提供了技术支撑。上述研究成果有利推动了浙贝母资源的综合开发利用，贯彻落实国家《“十四五”中医药发展规划》中关于“加强中药资源保护与利用”的战略思想。</w:t>
            </w:r>
          </w:p>
          <w:p>
            <w:pPr>
              <w:spacing w:line="300" w:lineRule="auto"/>
              <w:ind w:firstLine="480" w:firstLineChars="200"/>
              <w:contextualSpacing/>
              <w:rPr>
                <w:rFonts w:ascii="Times New Roman" w:hAnsi="Times New Roman" w:cs="Times New Roman"/>
                <w:color w:val="auto"/>
                <w:sz w:val="24"/>
                <w:szCs w:val="21"/>
              </w:rPr>
            </w:pPr>
            <w:r>
              <w:rPr>
                <w:rFonts w:ascii="Times New Roman" w:hAnsi="Times New Roman" w:eastAsia="宋体" w:cs="Times New Roman"/>
                <w:color w:val="auto"/>
                <w:sz w:val="24"/>
                <w:szCs w:val="21"/>
              </w:rPr>
              <w:t>项目成果转化产生共140万经济效益；</w:t>
            </w:r>
            <w:r>
              <w:rPr>
                <w:rFonts w:ascii="Times New Roman" w:hAnsi="Times New Roman" w:cs="Times New Roman"/>
                <w:color w:val="auto"/>
                <w:sz w:val="24"/>
                <w:szCs w:val="21"/>
              </w:rPr>
              <w:t>发表论文24篇（其中SCI论文3篇），其中代表性10篇论文的他引总数132次；成果登记2项。</w:t>
            </w:r>
          </w:p>
          <w:p>
            <w:pPr>
              <w:spacing w:line="300" w:lineRule="auto"/>
              <w:ind w:firstLine="480" w:firstLineChars="200"/>
              <w:contextualSpacing/>
              <w:rPr>
                <w:color w:val="auto"/>
                <w:szCs w:val="20"/>
              </w:rPr>
            </w:pPr>
            <w:r>
              <w:rPr>
                <w:rFonts w:hint="eastAsia" w:eastAsia="仿宋_GB2312"/>
                <w:bCs/>
                <w:color w:val="auto"/>
                <w:sz w:val="24"/>
                <w:szCs w:val="24"/>
              </w:rPr>
              <w:t>提名该成果为浙江省中医药科学技术奖三等奖。</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6530EFAA-E095-4CB1-A779-A5D4860B2E05}"/>
  </w:font>
  <w:font w:name="方正小标宋简体">
    <w:panose1 w:val="02000000000000000000"/>
    <w:charset w:val="86"/>
    <w:family w:val="auto"/>
    <w:pitch w:val="default"/>
    <w:sig w:usb0="00000001" w:usb1="08000000" w:usb2="00000000" w:usb3="00000000" w:csb0="00040000" w:csb1="00000000"/>
    <w:embedRegular r:id="rId2" w:fontKey="{C27EF835-165D-4D47-9077-8F9BB42B6619}"/>
  </w:font>
  <w:font w:name="仿宋_GB2312">
    <w:panose1 w:val="02010609030101010101"/>
    <w:charset w:val="86"/>
    <w:family w:val="auto"/>
    <w:pitch w:val="default"/>
    <w:sig w:usb0="00000001" w:usb1="080E0000" w:usb2="00000000" w:usb3="00000000" w:csb0="00040000" w:csb1="00000000"/>
    <w:embedRegular r:id="rId3" w:fontKey="{2CE52229-6F65-48AF-876B-F61755ED05F0}"/>
  </w:font>
  <w:font w:name="仿宋">
    <w:panose1 w:val="02010609060101010101"/>
    <w:charset w:val="86"/>
    <w:family w:val="modern"/>
    <w:pitch w:val="default"/>
    <w:sig w:usb0="800002BF" w:usb1="38CF7CFA" w:usb2="00000016" w:usb3="00000000" w:csb0="00040001" w:csb1="00000000"/>
    <w:embedRegular r:id="rId4" w:fontKey="{4A165B37-1782-4E34-89C5-0122262ACF7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wNTM5NzYwMDRjMzkwZTVkZjY2ODkwMGIxNGU0OTUifQ=="/>
  </w:docVars>
  <w:rsids>
    <w:rsidRoot w:val="20732AFE"/>
    <w:rsid w:val="0016470A"/>
    <w:rsid w:val="002B1E64"/>
    <w:rsid w:val="002F2BA8"/>
    <w:rsid w:val="005E2080"/>
    <w:rsid w:val="006463DB"/>
    <w:rsid w:val="00665E1D"/>
    <w:rsid w:val="009B2F29"/>
    <w:rsid w:val="00AB69F9"/>
    <w:rsid w:val="00AD5606"/>
    <w:rsid w:val="00CD7463"/>
    <w:rsid w:val="00D64FF1"/>
    <w:rsid w:val="00EB3261"/>
    <w:rsid w:val="00F71490"/>
    <w:rsid w:val="00FD04DA"/>
    <w:rsid w:val="20732AFE"/>
    <w:rsid w:val="501B6F67"/>
    <w:rsid w:val="62625B82"/>
    <w:rsid w:val="65EF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4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line="240" w:lineRule="auto"/>
    </w:pPr>
    <w:rPr>
      <w:rFonts w:ascii="Times New Roman" w:hAnsi="Times New Roman" w:eastAsia="宋体" w:cs="Times New Roman"/>
      <w:szCs w:val="24"/>
    </w:rPr>
  </w:style>
  <w:style w:type="paragraph" w:styleId="3">
    <w:name w:val="footer"/>
    <w:basedOn w:val="1"/>
    <w:link w:val="9"/>
    <w:autoRedefine/>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title1"/>
    <w:autoRedefine/>
    <w:qFormat/>
    <w:uiPriority w:val="0"/>
    <w:rPr>
      <w:b/>
      <w:bCs/>
      <w:color w:val="999900"/>
      <w:sz w:val="24"/>
      <w:szCs w:val="24"/>
    </w:rPr>
  </w:style>
  <w:style w:type="character" w:customStyle="1" w:styleId="8">
    <w:name w:val="页眉 Char"/>
    <w:basedOn w:val="6"/>
    <w:link w:val="4"/>
    <w:uiPriority w:val="0"/>
    <w:rPr>
      <w:kern w:val="2"/>
      <w:sz w:val="18"/>
      <w:szCs w:val="18"/>
    </w:rPr>
  </w:style>
  <w:style w:type="character" w:customStyle="1" w:styleId="9">
    <w:name w:val="页脚 Char"/>
    <w:basedOn w:val="6"/>
    <w:link w:val="3"/>
    <w:autoRedefine/>
    <w:uiPriority w:val="0"/>
    <w:rPr>
      <w:kern w:val="2"/>
      <w:sz w:val="18"/>
      <w:szCs w:val="18"/>
    </w:rPr>
  </w:style>
  <w:style w:type="character" w:customStyle="1" w:styleId="10">
    <w:name w:val="正文文本 Char"/>
    <w:basedOn w:val="6"/>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294</Words>
  <Characters>1680</Characters>
  <Lines>14</Lines>
  <Paragraphs>3</Paragraphs>
  <TotalTime>18</TotalTime>
  <ScaleCrop>false</ScaleCrop>
  <LinksUpToDate>false</LinksUpToDate>
  <CharactersWithSpaces>1971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2023-12-29T13:41:00Z</dcterms:created>
  <dc:creator>陆耕宇</dc:creator>
  <cp:lastModifiedBy>陆耕宇</cp:lastModifiedBy>
  <dcterms:modified xsi:type="dcterms:W3CDTF">2024-01-28T03:56:31Z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FBA90B9D5F704F6582CADCF6FECD5E8C_11</vt:lpwstr>
  </property>
</Properties>
</file>